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083BF" w14:textId="7D51CD43" w:rsidR="00577572" w:rsidRDefault="00577572" w:rsidP="001C3012">
      <w:pPr>
        <w:pStyle w:val="NormaleWeb"/>
        <w:ind w:left="-709"/>
        <w:jc w:val="both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463C918E" wp14:editId="3086A24F">
            <wp:extent cx="2077745" cy="533400"/>
            <wp:effectExtent l="0" t="0" r="0" b="0"/>
            <wp:docPr id="37" name="Immagine 3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magine 37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377" cy="53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5B42" w14:textId="63CAF8C5" w:rsidR="001C3012" w:rsidRPr="001C3012" w:rsidRDefault="001C3012" w:rsidP="001C3012">
      <w:pPr>
        <w:pStyle w:val="NormaleWeb"/>
        <w:ind w:left="-709"/>
        <w:jc w:val="both"/>
        <w:rPr>
          <w:color w:val="000000"/>
        </w:rPr>
      </w:pPr>
      <w:r w:rsidRPr="001C3012">
        <w:rPr>
          <w:color w:val="000000"/>
        </w:rPr>
        <w:t>La Banca di Filottrano offre un servizio di acquisto dei crediti d’imposta rivenienti dai bonus fiscali edilizi così come disciplinati dal cosiddetto DL Rilancio, a condizioni particolarmente vantaggiose e soprattutto, senza i vincoli e gli appesantimenti burocratici richiesti da altre Banche.</w:t>
      </w:r>
    </w:p>
    <w:p w14:paraId="7034B609" w14:textId="37F96309" w:rsidR="001C3012" w:rsidRPr="001C3012" w:rsidRDefault="001C3012" w:rsidP="001C3012">
      <w:pPr>
        <w:pStyle w:val="NormaleWeb"/>
        <w:ind w:left="-709"/>
        <w:rPr>
          <w:color w:val="000000"/>
        </w:rPr>
      </w:pPr>
      <w:r w:rsidRPr="001C3012">
        <w:rPr>
          <w:color w:val="000000"/>
        </w:rPr>
        <w:t>I procedimenti seguito dalla Banca per l’acquisto dei crediti d’imposta sono diversi a seconda della situazione di partenza, ma tutti sono caratterizzati dalla massima snellezza.</w:t>
      </w:r>
      <w:r>
        <w:rPr>
          <w:color w:val="000000"/>
        </w:rPr>
        <w:t xml:space="preserve"> Di seguito il riepilogo dei Bonus disciplinati e a seguire lo schema del flusso.</w:t>
      </w:r>
    </w:p>
    <w:tbl>
      <w:tblPr>
        <w:tblW w:w="11062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81"/>
        <w:gridCol w:w="2351"/>
        <w:gridCol w:w="3119"/>
        <w:gridCol w:w="1134"/>
        <w:gridCol w:w="1417"/>
      </w:tblGrid>
      <w:tr w:rsidR="001C3012" w:rsidRPr="001C3012" w14:paraId="5DD7C6E4" w14:textId="77777777" w:rsidTr="00577572">
        <w:trPr>
          <w:trHeight w:val="750"/>
        </w:trPr>
        <w:tc>
          <w:tcPr>
            <w:tcW w:w="11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5E4024FC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Bonus fiscali edilizi disciplinati dal DL 34/2020 Decreto Rilancio e cedibili alla Banca in alternativa al recupero fiscale</w:t>
            </w:r>
          </w:p>
        </w:tc>
      </w:tr>
      <w:tr w:rsidR="001C3012" w:rsidRPr="001C3012" w14:paraId="4F722476" w14:textId="77777777" w:rsidTr="00577572">
        <w:trPr>
          <w:trHeight w:val="1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9F5EF85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Tipologia di bonus fiscale edilizio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F2A13A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Riferimento normativo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91FF4BA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Soggetti ammessi all'agevolazione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FC686D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Interventi agevolabili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3EE3CF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Aliquota detrazione fiscale spettante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B6373F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Periodo di recupero fiscale mediante compensazione con i debiti tributari</w:t>
            </w:r>
          </w:p>
        </w:tc>
      </w:tr>
      <w:tr w:rsidR="001C3012" w:rsidRPr="001C3012" w14:paraId="36D8E12B" w14:textId="77777777" w:rsidTr="00577572">
        <w:trPr>
          <w:trHeight w:val="21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92AA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Super Eco Bonus 110% interventi trainanti e trainati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6EC1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Articolo 119 DL 34/2020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CAA3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Persone fisiche al di fuori dell'esercizio dell'attiva d'impresa, arte o professione ovvero esercenti attività d'impresa ma solo su immobili di tipo residenziale (1)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B809" w14:textId="466D5E10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Interventi trainanti: isolamento termico, sostituzione impianti climatizzazione invernali, interventi antisismici. Interventi trainati: efficientamento energetico Ecobonus (es. infissi), colonnine di ricarica veicoli elettrici, impianti solari fotovoltaici, sistemi di accumulo di energia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35E4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5927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 anni</w:t>
            </w:r>
          </w:p>
        </w:tc>
      </w:tr>
      <w:tr w:rsidR="001C3012" w:rsidRPr="001C3012" w14:paraId="59193D29" w14:textId="77777777" w:rsidTr="00577572">
        <w:trPr>
          <w:trHeight w:val="25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0AB6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Adozione di misure antisismiche (Sismabonus)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B01F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Art. 16 commi da 1-bis a 1-septies del DL 63/2013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8474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Persone fisiche soggette ad Irpef, imprenditori individuali per gli immobili adibiti ad attività produttive, soggetti indicati nell'art 5 del TUIR che producono redditi in forma associata (società semplici, in nome collettivo, in accomandita semplice e soggetti equiparati, imprese familiari); soggetti passivi IRES.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4543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Interventi di miglioramento e adeguamento sismico, acquisto di case antisismiche nei comuni che si trovano nelle zone sismiche 1, 2,3.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DD20" w14:textId="0A3CB779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70%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80%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75%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00E6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 anni</w:t>
            </w:r>
          </w:p>
        </w:tc>
      </w:tr>
      <w:tr w:rsidR="001C3012" w:rsidRPr="001C3012" w14:paraId="2E19A474" w14:textId="77777777" w:rsidTr="00577572">
        <w:trPr>
          <w:trHeight w:val="17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4448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Recupero del patrimonio edilizio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57B2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Art. 16 bis comma 1 lettera a) e b) del TUIR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23D4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Persone fisiche soggette ad Irpef, imprenditori individuali per immobili adibiti ad attività produttive, società semplici, imprese familiari ma solo per immobili non rientranti tra i beni strumentali o beni merce.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3F86" w14:textId="5363303D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Interventi di manutenzione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straordinaria, di restauro e risanamento conservativo, di ristrutturazione.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EAC6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50% (attuale)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167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 anni</w:t>
            </w:r>
          </w:p>
        </w:tc>
      </w:tr>
      <w:tr w:rsidR="001C3012" w:rsidRPr="001C3012" w14:paraId="62701708" w14:textId="77777777" w:rsidTr="00577572">
        <w:trPr>
          <w:trHeight w:val="16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CF88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Efficientamento energetico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62A1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Art. 14 DL 63/2013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AC9B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Persone fisiche compresi esercenti arti e professioni, soggetti che generano reddito d'impresa (persone fisiche, società di persone, società di capitali), associazioni tra professionisti, enti pubblici e privati.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825D" w14:textId="37A69815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Interventi di riqualificazione energetica di edifici esistenti o sull'involucro di edifici esistenti, installazione di pannelli solari per la produzione di acqua calda, sostituzione di impianti di climatizzazione invernale con impianti dotati di caldaie a condensazione o pompe di calore, impianti 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</w:t>
            </w: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termici, biomasse, schermature sol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</w:t>
            </w: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re, microg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</w:t>
            </w: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neratori.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EB46" w14:textId="06C29468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65%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50%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75%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80%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br/>
            </w: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ACD3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 anni</w:t>
            </w:r>
          </w:p>
        </w:tc>
      </w:tr>
      <w:tr w:rsidR="001C3012" w:rsidRPr="001C3012" w14:paraId="0A687252" w14:textId="77777777" w:rsidTr="00577572">
        <w:trPr>
          <w:trHeight w:val="1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7BD5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Recupero o restauro della facciata di edifici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3966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Art. 1 commi 219 e 220 legge 160/2019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DF8A" w14:textId="7777777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Persone fisiche compresi esercenti arti e professioni, società semplici, società di persone e capitali (esclusione soggetti in regime forfettario ed imposta sostitutiva)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C24" w14:textId="2D47CD87" w:rsidR="001C3012" w:rsidRPr="001C3012" w:rsidRDefault="001C3012" w:rsidP="001C3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Interventi di recupero/restauro dell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</w:t>
            </w: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facciate esterne di edifici esistenti, anche strumentali, compresi gli interventi di efficientamento energetico ("cappotto termico"), di immobili situati in zone "A" o "B" reg. 1444/1968 o assimilabili in base a norme regionali o regolamenti comunali.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1DBC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9907" w14:textId="77777777" w:rsidR="001C3012" w:rsidRPr="001C3012" w:rsidRDefault="001C3012" w:rsidP="001C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 anni</w:t>
            </w:r>
          </w:p>
        </w:tc>
      </w:tr>
      <w:tr w:rsidR="001C3012" w:rsidRPr="001C3012" w14:paraId="24451768" w14:textId="77777777" w:rsidTr="00577572">
        <w:trPr>
          <w:trHeight w:val="1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CC31" w14:textId="77777777" w:rsidR="001C3012" w:rsidRPr="001C3012" w:rsidRDefault="001C3012" w:rsidP="0071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Installazione di impianti fotovoltaici (se non trainato 110%)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C72" w14:textId="77777777" w:rsidR="001C3012" w:rsidRPr="001C3012" w:rsidRDefault="001C3012" w:rsidP="0071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Art. 16 bis comma 1 lett. h) del TUIR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6052" w14:textId="77777777" w:rsidR="001C3012" w:rsidRPr="001C3012" w:rsidRDefault="001C3012" w:rsidP="0071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Persone fisiche al di fuori dell'esercizio dell'attività d'impresa, arte o professione, società semplici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F864" w14:textId="77777777" w:rsidR="001C3012" w:rsidRPr="001C3012" w:rsidRDefault="001C3012" w:rsidP="0071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Impianti fotovoltaici finalizzati alla produzione di energia elettrica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DC8E" w14:textId="77777777" w:rsidR="001C3012" w:rsidRPr="001C3012" w:rsidRDefault="001C3012" w:rsidP="0071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50% (non trainato)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37AF" w14:textId="77777777" w:rsidR="001C3012" w:rsidRPr="001C3012" w:rsidRDefault="001C3012" w:rsidP="0071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 anni</w:t>
            </w:r>
          </w:p>
        </w:tc>
      </w:tr>
      <w:tr w:rsidR="001C3012" w:rsidRPr="001C3012" w14:paraId="016620E1" w14:textId="77777777" w:rsidTr="00577572">
        <w:trPr>
          <w:trHeight w:val="1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BAAA" w14:textId="77777777" w:rsidR="001C3012" w:rsidRPr="001C3012" w:rsidRDefault="001C3012" w:rsidP="0071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Installazione di colonnine per la ricarica di veicoli elettrici (se non trainato 110%)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C2FB" w14:textId="77777777" w:rsidR="001C3012" w:rsidRPr="001C3012" w:rsidRDefault="001C3012" w:rsidP="0071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Art 16-ter DL 63/2013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C00" w14:textId="77777777" w:rsidR="001C3012" w:rsidRPr="001C3012" w:rsidRDefault="001C3012" w:rsidP="0071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Persone fisiche anche nell'esercizio di arti o professioni, imprese in quali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</w:t>
            </w: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à di beni strumentali ammortizzabili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AD85" w14:textId="77777777" w:rsidR="001C3012" w:rsidRPr="001C3012" w:rsidRDefault="001C3012" w:rsidP="0071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Infrastrutture di ricarica dei veicoli alimentati ad energia elettrica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81E9" w14:textId="77777777" w:rsidR="001C3012" w:rsidRPr="001C3012" w:rsidRDefault="001C3012" w:rsidP="0071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50% (non trainato)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A321" w14:textId="77777777" w:rsidR="001C3012" w:rsidRPr="001C3012" w:rsidRDefault="001C3012" w:rsidP="0071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C30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 anni</w:t>
            </w:r>
          </w:p>
        </w:tc>
      </w:tr>
    </w:tbl>
    <w:p w14:paraId="76329626" w14:textId="77777777" w:rsidR="00D338FB" w:rsidRDefault="00D338FB" w:rsidP="00D338FB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</w:p>
    <w:p w14:paraId="7F3E128F" w14:textId="22011B7B" w:rsidR="00577572" w:rsidRPr="00830F52" w:rsidRDefault="00D338FB" w:rsidP="00D338FB">
      <w:pPr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D338FB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(1) Possono fruire del Superbonus i titolari dell'impresa agricola,</w:t>
      </w:r>
      <w:r w:rsidR="008D662D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gli affittuari, i conduttori (o loro famigliari conviventi),</w:t>
      </w:r>
      <w:r w:rsidRPr="00D338FB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i soci e gli amministratori di società semplici agricole (persone fisiche), di cui</w:t>
      </w:r>
      <w:r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</w:t>
      </w:r>
      <w:r w:rsidRPr="00D338FB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all'articolo 9 del </w:t>
      </w:r>
      <w:r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Dl</w:t>
      </w:r>
      <w:r w:rsidRPr="00D338FB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n. 557 del 1993, nonché i dipendenti esercenti attività agricole nell'azienda, ma solo a condizione che gli interventi siano effettuati su </w:t>
      </w:r>
      <w:r w:rsidRPr="008D662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>fabbricati rurali ad uso abitativo</w:t>
      </w:r>
      <w:r w:rsidRPr="00D338FB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. Per gli immobili rurali "strumentali" l'agevolazione non può essere attivata.</w:t>
      </w:r>
    </w:p>
    <w:p w14:paraId="7F06C4FD" w14:textId="1F31D3D6" w:rsidR="001C3012" w:rsidRPr="00577572" w:rsidRDefault="00577572" w:rsidP="00577572">
      <w:pPr>
        <w:ind w:left="-709"/>
        <w:jc w:val="center"/>
        <w:rPr>
          <w:b/>
          <w:bCs/>
        </w:rPr>
      </w:pPr>
      <w:r w:rsidRPr="00577572">
        <w:rPr>
          <w:b/>
          <w:bCs/>
        </w:rPr>
        <w:t>CESSIONE DEL CREDITO D'IMPOSTA ALLA BANCA DA PARTE DEL PRIVATO</w:t>
      </w:r>
      <w:r>
        <w:rPr>
          <w:b/>
          <w:bCs/>
        </w:rPr>
        <w:br/>
      </w:r>
      <w:r w:rsidRPr="00577572">
        <w:rPr>
          <w:b/>
          <w:bCs/>
        </w:rPr>
        <w:t>A STATO AVANZAMENTO LAVORI O FINE LAVORI</w:t>
      </w:r>
    </w:p>
    <w:p w14:paraId="027E0E37" w14:textId="78478FA2" w:rsidR="001C3012" w:rsidRDefault="005775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E2393" wp14:editId="48768D65">
                <wp:simplePos x="0" y="0"/>
                <wp:positionH relativeFrom="column">
                  <wp:posOffset>-424815</wp:posOffset>
                </wp:positionH>
                <wp:positionV relativeFrom="paragraph">
                  <wp:posOffset>108585</wp:posOffset>
                </wp:positionV>
                <wp:extent cx="6991350" cy="142875"/>
                <wp:effectExtent l="0" t="19050" r="38100" b="47625"/>
                <wp:wrapNone/>
                <wp:docPr id="35" name="Freccia a destr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3245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5" o:spid="_x0000_s1026" type="#_x0000_t13" style="position:absolute;margin-left:-33.45pt;margin-top:8.55pt;width:55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" adj="21379" fillcolor="#4472c4 [3204]" strokecolor="#1f3763 [1604]" strokeweight="1pt"/>
            </w:pict>
          </mc:Fallback>
        </mc:AlternateContent>
      </w:r>
    </w:p>
    <w:tbl>
      <w:tblPr>
        <w:tblW w:w="1105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171"/>
        <w:gridCol w:w="1818"/>
        <w:gridCol w:w="167"/>
        <w:gridCol w:w="1678"/>
        <w:gridCol w:w="165"/>
        <w:gridCol w:w="1680"/>
        <w:gridCol w:w="162"/>
        <w:gridCol w:w="1668"/>
        <w:gridCol w:w="175"/>
        <w:gridCol w:w="1701"/>
      </w:tblGrid>
      <w:tr w:rsidR="002555E3" w:rsidRPr="002555E3" w14:paraId="054E8A79" w14:textId="77777777" w:rsidTr="002555E3">
        <w:trPr>
          <w:trHeight w:val="129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770D" w14:textId="77777777" w:rsidR="002555E3" w:rsidRPr="002555E3" w:rsidRDefault="002555E3" w:rsidP="00255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555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Stato avanzamento Lavori (minimo 30% del computo metrico totale)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671" w14:textId="5CE21A11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64FD30AB" w14:textId="581E4770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0109" w14:textId="25CB5026" w:rsidR="002555E3" w:rsidRPr="002555E3" w:rsidRDefault="002555E3" w:rsidP="00255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555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1) Asseverazione Tecnica dei lavori da parte di un professionista abilitato ex DL 34/2020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F0D7" w14:textId="53B2CB6E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54E6" w14:textId="5B52F232" w:rsidR="002555E3" w:rsidRPr="002555E3" w:rsidRDefault="002555E3" w:rsidP="00255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555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Comunicazione telematica all'Agenzia delle Entrate dell'Opzione di Cessione del Credito d'imposta a favore della Banca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D753" w14:textId="02CE7A6A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6CB6" w14:textId="52A64CDB" w:rsidR="002555E3" w:rsidRPr="002555E3" w:rsidRDefault="002555E3" w:rsidP="00255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55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 partire dal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10°</w:t>
            </w:r>
            <w:r w:rsidRPr="00255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giorno del mese successivo alla Comunicazione il credito è disponibile per l'Accettazione sul Cassetto Fiscale della Banca</w:t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48C7" w14:textId="7865AE0D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A2C1AD8" w14:textId="77777777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B81" w14:textId="77777777" w:rsidR="002555E3" w:rsidRPr="002555E3" w:rsidRDefault="002555E3" w:rsidP="00255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555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Il cliente sottoscrive il Contratto di cessione del credito con la Banca</w:t>
            </w:r>
          </w:p>
        </w:tc>
        <w:tc>
          <w:tcPr>
            <w:tcW w:w="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D13B" w14:textId="6FD32D0B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561E432" w14:textId="77777777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4421" w14:textId="77777777" w:rsidR="002555E3" w:rsidRPr="002555E3" w:rsidRDefault="002555E3" w:rsidP="00255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555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 Banca accetta il credito ed accredita il conto corrente del cliente senza ulteriori formalità entro un massimo di 15 giorni</w:t>
            </w:r>
          </w:p>
        </w:tc>
      </w:tr>
      <w:tr w:rsidR="002555E3" w:rsidRPr="002555E3" w14:paraId="4987D82E" w14:textId="77777777" w:rsidTr="002555E3">
        <w:trPr>
          <w:trHeight w:val="124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E753" w14:textId="77777777" w:rsidR="002555E3" w:rsidRPr="002555E3" w:rsidRDefault="002555E3" w:rsidP="00255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555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Fine Lavori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112ACE" w14:textId="77777777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D788" w14:textId="7540D831" w:rsidR="002555E3" w:rsidRPr="002555E3" w:rsidRDefault="002555E3" w:rsidP="00255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555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2) "Visto di conformità" da parte di un Commercialista o di un Caaf</w:t>
            </w: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06D2C" w14:textId="77777777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18FC" w14:textId="77777777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059E2" w14:textId="77777777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500E2" w14:textId="77777777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F800C" w14:textId="77777777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0AB3" w14:textId="77777777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753AA" w14:textId="77777777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1640C" w14:textId="77777777" w:rsidR="002555E3" w:rsidRPr="002555E3" w:rsidRDefault="002555E3" w:rsidP="00255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766E74F" w14:textId="5030A5F8" w:rsidR="001C3012" w:rsidRDefault="001C3012" w:rsidP="00577572">
      <w:pPr>
        <w:ind w:left="-851"/>
      </w:pPr>
    </w:p>
    <w:p w14:paraId="755BF54E" w14:textId="6F8A6FBD" w:rsidR="00577572" w:rsidRDefault="00577572" w:rsidP="00577572">
      <w:pPr>
        <w:ind w:left="-709"/>
        <w:jc w:val="both"/>
      </w:pPr>
      <w:r w:rsidRPr="00577572">
        <w:t>Nel caso di bonus fiscali edilizi diversi dal Superbonus la Cessione del Credito può avvenire a Stato Avanzamento Lavori, anche più volte e per qualsiasi importo; non sono inoltre necessarie</w:t>
      </w:r>
      <w:r>
        <w:t xml:space="preserve"> </w:t>
      </w:r>
      <w:r w:rsidRPr="00577572">
        <w:t>le asseverazioni tecniche ed il visto di conformità richiesti dal Superbonus.</w:t>
      </w:r>
    </w:p>
    <w:p w14:paraId="3B16BF5B" w14:textId="235DBE9D" w:rsidR="00577572" w:rsidRDefault="00577572" w:rsidP="00577572">
      <w:pPr>
        <w:ind w:left="-709"/>
        <w:jc w:val="center"/>
        <w:rPr>
          <w:b/>
          <w:bCs/>
        </w:rPr>
      </w:pPr>
      <w:r w:rsidRPr="00577572">
        <w:rPr>
          <w:b/>
          <w:bCs/>
        </w:rPr>
        <w:t>CESSIONE DEL CREDITO D'IMPOSTA ALLA BANCA DA PARTE DELLA DITTA</w:t>
      </w:r>
      <w:r>
        <w:rPr>
          <w:b/>
          <w:bCs/>
        </w:rPr>
        <w:br/>
      </w:r>
      <w:r w:rsidRPr="00577572">
        <w:rPr>
          <w:b/>
          <w:bCs/>
        </w:rPr>
        <w:t>CHE PRATICA LO SCONTO IN FATTURA AI PROPRI COMMITTENTI</w:t>
      </w:r>
    </w:p>
    <w:p w14:paraId="5E66533E" w14:textId="169452EF" w:rsidR="00577572" w:rsidRDefault="00577572" w:rsidP="00577572">
      <w:pPr>
        <w:ind w:left="-709"/>
        <w:jc w:val="center"/>
        <w:rPr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E5365" wp14:editId="634FC7A4">
                <wp:simplePos x="0" y="0"/>
                <wp:positionH relativeFrom="column">
                  <wp:posOffset>-466725</wp:posOffset>
                </wp:positionH>
                <wp:positionV relativeFrom="paragraph">
                  <wp:posOffset>19050</wp:posOffset>
                </wp:positionV>
                <wp:extent cx="6991350" cy="142875"/>
                <wp:effectExtent l="0" t="19050" r="38100" b="47625"/>
                <wp:wrapNone/>
                <wp:docPr id="36" name="Freccia a destr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90163" id="Freccia a destra 36" o:spid="_x0000_s1026" type="#_x0000_t13" style="position:absolute;margin-left:-36.75pt;margin-top:1.5pt;width:55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" adj="21379" fillcolor="#4472c4 [3204]" strokecolor="#1f3763 [1604]" strokeweight="1pt"/>
            </w:pict>
          </mc:Fallback>
        </mc:AlternateContent>
      </w:r>
    </w:p>
    <w:tbl>
      <w:tblPr>
        <w:tblW w:w="12214" w:type="dxa"/>
        <w:tblInd w:w="-71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175"/>
        <w:gridCol w:w="1813"/>
        <w:gridCol w:w="181"/>
        <w:gridCol w:w="1656"/>
        <w:gridCol w:w="181"/>
        <w:gridCol w:w="1669"/>
        <w:gridCol w:w="181"/>
        <w:gridCol w:w="1667"/>
        <w:gridCol w:w="181"/>
        <w:gridCol w:w="1672"/>
        <w:gridCol w:w="1160"/>
      </w:tblGrid>
      <w:tr w:rsidR="00577572" w:rsidRPr="00577572" w14:paraId="6B570DA9" w14:textId="77777777" w:rsidTr="00577572">
        <w:trPr>
          <w:gridAfter w:val="1"/>
          <w:wAfter w:w="1160" w:type="dxa"/>
          <w:trHeight w:val="2325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B16D" w14:textId="77777777" w:rsidR="00577572" w:rsidRPr="00577572" w:rsidRDefault="00577572" w:rsidP="00577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775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 Ditta, a S.A.L. o Fine Lavori, emette fattura a "zero" a carico del Committente, il quale effettua, sul sito dell'Ade, una comunicazione di Opzione per la cessione del Credito d'imposta a favore della Ditta</w:t>
            </w:r>
          </w:p>
        </w:tc>
        <w:tc>
          <w:tcPr>
            <w:tcW w:w="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94C9" w14:textId="77777777" w:rsidR="00577572" w:rsidRPr="00577572" w:rsidRDefault="00577572" w:rsidP="00577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C54" w14:textId="77777777" w:rsidR="00577572" w:rsidRPr="00577572" w:rsidRDefault="00577572" w:rsidP="00577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775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 partire dal decimo giorno del mese successivo alla Comunicazione il credito è disponibile per l'Accettazione sul Cassetto Fiscale della Ditta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5F48" w14:textId="77777777" w:rsidR="00577572" w:rsidRPr="00577572" w:rsidRDefault="00577572" w:rsidP="00577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775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FBB1" w14:textId="77777777" w:rsidR="00577572" w:rsidRPr="00577572" w:rsidRDefault="00577572" w:rsidP="00577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775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 Ditta Comunica sul sito dell'Ade l'Opzione di Cessione del Credito d'imposta a favore della Banca</w:t>
            </w: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6110" w14:textId="77777777" w:rsidR="00577572" w:rsidRPr="00577572" w:rsidRDefault="00577572" w:rsidP="00577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775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5949" w14:textId="77777777" w:rsidR="00577572" w:rsidRPr="00577572" w:rsidRDefault="00577572" w:rsidP="00577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775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Nei giorni immediatamente successivi il credito è disponibile per l'Accettazione nel cassetto fiscale della Banca</w:t>
            </w: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2161" w14:textId="77777777" w:rsidR="00577572" w:rsidRPr="00577572" w:rsidRDefault="00577572" w:rsidP="00577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775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7A9B" w14:textId="77777777" w:rsidR="00577572" w:rsidRPr="00577572" w:rsidRDefault="00577572" w:rsidP="00577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775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 Ditta sottoscrive il Contratto di cessione del credito con la Banca</w:t>
            </w: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433B" w14:textId="77777777" w:rsidR="00577572" w:rsidRPr="00577572" w:rsidRDefault="00577572" w:rsidP="00577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775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0DBE" w14:textId="77777777" w:rsidR="00577572" w:rsidRPr="00577572" w:rsidRDefault="00577572" w:rsidP="00577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5775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 Banca accetta il credito ed accredita il conto corrente del cliente senza ulteriori formalità entro un massimo di 15 giorni</w:t>
            </w:r>
          </w:p>
        </w:tc>
      </w:tr>
      <w:tr w:rsidR="00577572" w:rsidRPr="00577572" w14:paraId="0F1E1249" w14:textId="77777777" w:rsidTr="00577572">
        <w:trPr>
          <w:trHeight w:val="300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3EBDB" w14:textId="77777777" w:rsidR="00577572" w:rsidRPr="00577572" w:rsidRDefault="00577572" w:rsidP="005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BF3EB" w14:textId="77777777" w:rsidR="00577572" w:rsidRPr="00577572" w:rsidRDefault="00577572" w:rsidP="005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96386" w14:textId="77777777" w:rsidR="00577572" w:rsidRPr="00577572" w:rsidRDefault="00577572" w:rsidP="005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EBEDC2" w14:textId="77777777" w:rsidR="00577572" w:rsidRPr="00577572" w:rsidRDefault="00577572" w:rsidP="005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D22C4" w14:textId="77777777" w:rsidR="00577572" w:rsidRPr="00577572" w:rsidRDefault="00577572" w:rsidP="005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B7346" w14:textId="77777777" w:rsidR="00577572" w:rsidRPr="00577572" w:rsidRDefault="00577572" w:rsidP="005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1580" w14:textId="77777777" w:rsidR="00577572" w:rsidRPr="00577572" w:rsidRDefault="00577572" w:rsidP="005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FBDE0" w14:textId="77777777" w:rsidR="00577572" w:rsidRPr="00577572" w:rsidRDefault="00577572" w:rsidP="005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3DCEA" w14:textId="77777777" w:rsidR="00577572" w:rsidRPr="00577572" w:rsidRDefault="00577572" w:rsidP="005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EF318" w14:textId="77777777" w:rsidR="00577572" w:rsidRPr="00577572" w:rsidRDefault="00577572" w:rsidP="005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0C3C0" w14:textId="77777777" w:rsidR="00577572" w:rsidRPr="00577572" w:rsidRDefault="00577572" w:rsidP="005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6308" w14:textId="77777777" w:rsidR="00577572" w:rsidRPr="00577572" w:rsidRDefault="00577572" w:rsidP="00577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48B14B2" w14:textId="77777777" w:rsidR="00577572" w:rsidRPr="00577572" w:rsidRDefault="00577572" w:rsidP="00577572">
      <w:pPr>
        <w:rPr>
          <w:b/>
          <w:bCs/>
        </w:rPr>
      </w:pPr>
    </w:p>
    <w:sectPr w:rsidR="00577572" w:rsidRPr="00577572" w:rsidSect="00577572">
      <w:pgSz w:w="11906" w:h="16838"/>
      <w:pgMar w:top="567" w:right="28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FB959" w14:textId="77777777" w:rsidR="003A567C" w:rsidRDefault="003A567C" w:rsidP="001C3012">
      <w:pPr>
        <w:spacing w:after="0" w:line="240" w:lineRule="auto"/>
      </w:pPr>
      <w:r>
        <w:separator/>
      </w:r>
    </w:p>
  </w:endnote>
  <w:endnote w:type="continuationSeparator" w:id="0">
    <w:p w14:paraId="0B9EB817" w14:textId="77777777" w:rsidR="003A567C" w:rsidRDefault="003A567C" w:rsidP="001C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EEDE7" w14:textId="77777777" w:rsidR="003A567C" w:rsidRDefault="003A567C" w:rsidP="001C3012">
      <w:pPr>
        <w:spacing w:after="0" w:line="240" w:lineRule="auto"/>
      </w:pPr>
      <w:r>
        <w:separator/>
      </w:r>
    </w:p>
  </w:footnote>
  <w:footnote w:type="continuationSeparator" w:id="0">
    <w:p w14:paraId="70F6CC76" w14:textId="77777777" w:rsidR="003A567C" w:rsidRDefault="003A567C" w:rsidP="001C3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12"/>
    <w:rsid w:val="000434ED"/>
    <w:rsid w:val="001C3012"/>
    <w:rsid w:val="002555E3"/>
    <w:rsid w:val="003A567C"/>
    <w:rsid w:val="00577572"/>
    <w:rsid w:val="00830F52"/>
    <w:rsid w:val="008D662D"/>
    <w:rsid w:val="009F2878"/>
    <w:rsid w:val="00D3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8B8E"/>
  <w15:chartTrackingRefBased/>
  <w15:docId w15:val="{653520C1-0285-4674-92BC-AE9A6AB2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3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012"/>
  </w:style>
  <w:style w:type="paragraph" w:styleId="Pidipagina">
    <w:name w:val="footer"/>
    <w:basedOn w:val="Normale"/>
    <w:link w:val="PidipaginaCarattere"/>
    <w:uiPriority w:val="99"/>
    <w:unhideWhenUsed/>
    <w:rsid w:val="001C3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012"/>
  </w:style>
  <w:style w:type="paragraph" w:styleId="NormaleWeb">
    <w:name w:val="Normal (Web)"/>
    <w:basedOn w:val="Normale"/>
    <w:uiPriority w:val="99"/>
    <w:semiHidden/>
    <w:unhideWhenUsed/>
    <w:rsid w:val="001C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</dc:creator>
  <cp:keywords/>
  <dc:description/>
  <cp:lastModifiedBy>client1</cp:lastModifiedBy>
  <cp:revision>2</cp:revision>
  <dcterms:created xsi:type="dcterms:W3CDTF">2021-05-24T15:18:00Z</dcterms:created>
  <dcterms:modified xsi:type="dcterms:W3CDTF">2021-05-24T15:18:00Z</dcterms:modified>
</cp:coreProperties>
</file>